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19DF4" w14:textId="77777777" w:rsidR="00646C0D" w:rsidRPr="00646C0D" w:rsidRDefault="008A44F2" w:rsidP="005B2D07">
      <w:pPr>
        <w:spacing w:line="336" w:lineRule="auto"/>
        <w:jc w:val="center"/>
        <w:rPr>
          <w:rFonts w:ascii="Garamond" w:hAnsi="Garamond"/>
          <w:b/>
          <w:sz w:val="28"/>
          <w:szCs w:val="28"/>
        </w:rPr>
      </w:pPr>
      <w:r w:rsidRPr="00646C0D">
        <w:rPr>
          <w:rFonts w:ascii="Garamond" w:hAnsi="Garamond"/>
          <w:b/>
          <w:sz w:val="28"/>
          <w:szCs w:val="28"/>
        </w:rPr>
        <w:t xml:space="preserve">COMUNE DI </w:t>
      </w:r>
      <w:r w:rsidRPr="00646C0D">
        <w:rPr>
          <w:rFonts w:ascii="Garamond" w:hAnsi="Garamond"/>
          <w:b/>
          <w:sz w:val="28"/>
          <w:szCs w:val="28"/>
          <w:highlight w:val="yellow"/>
        </w:rPr>
        <w:t>...</w:t>
      </w:r>
    </w:p>
    <w:p w14:paraId="52A56A0A" w14:textId="77777777" w:rsidR="008A44F2" w:rsidRPr="008A44F2" w:rsidRDefault="008A44F2" w:rsidP="005B2D07">
      <w:pPr>
        <w:spacing w:line="336" w:lineRule="auto"/>
        <w:jc w:val="both"/>
        <w:rPr>
          <w:rFonts w:ascii="Garamond" w:hAnsi="Garamond"/>
          <w:sz w:val="28"/>
          <w:szCs w:val="28"/>
        </w:rPr>
      </w:pPr>
      <w:r w:rsidRPr="008A44F2">
        <w:rPr>
          <w:rFonts w:ascii="Garamond" w:hAnsi="Garamond"/>
          <w:sz w:val="28"/>
          <w:szCs w:val="28"/>
        </w:rPr>
        <w:t xml:space="preserve">Proposta dall'Assessore </w:t>
      </w:r>
      <w:r w:rsidRPr="00646C0D">
        <w:rPr>
          <w:rFonts w:ascii="Garamond" w:hAnsi="Garamond"/>
          <w:sz w:val="28"/>
          <w:szCs w:val="28"/>
          <w:highlight w:val="yellow"/>
        </w:rPr>
        <w:t>...</w:t>
      </w:r>
      <w:r w:rsidRPr="008A44F2">
        <w:rPr>
          <w:rFonts w:ascii="Garamond" w:hAnsi="Garamond"/>
          <w:sz w:val="28"/>
          <w:szCs w:val="28"/>
        </w:rPr>
        <w:t xml:space="preserve"> / Sindaco </w:t>
      </w:r>
      <w:r w:rsidRPr="00646C0D">
        <w:rPr>
          <w:rFonts w:ascii="Garamond" w:hAnsi="Garamond"/>
          <w:sz w:val="28"/>
          <w:szCs w:val="28"/>
          <w:highlight w:val="yellow"/>
        </w:rPr>
        <w:t>...</w:t>
      </w:r>
    </w:p>
    <w:p w14:paraId="2EE1D7A7" w14:textId="77777777" w:rsidR="008A44F2" w:rsidRPr="008A44F2" w:rsidRDefault="008A44F2" w:rsidP="005B2D07">
      <w:pPr>
        <w:spacing w:line="336" w:lineRule="auto"/>
        <w:jc w:val="both"/>
        <w:rPr>
          <w:rFonts w:ascii="Garamond" w:hAnsi="Garamond"/>
          <w:sz w:val="28"/>
          <w:szCs w:val="28"/>
        </w:rPr>
      </w:pPr>
      <w:r w:rsidRPr="00646C0D">
        <w:rPr>
          <w:rFonts w:ascii="Garamond" w:hAnsi="Garamond"/>
          <w:sz w:val="28"/>
          <w:szCs w:val="28"/>
          <w:highlight w:val="yellow"/>
        </w:rPr>
        <w:t>di concerto con l'Assessore ...</w:t>
      </w:r>
      <w:r w:rsidRPr="008A44F2">
        <w:rPr>
          <w:rFonts w:ascii="Garamond" w:hAnsi="Garamond"/>
          <w:sz w:val="28"/>
          <w:szCs w:val="28"/>
        </w:rPr>
        <w:t> </w:t>
      </w:r>
    </w:p>
    <w:p w14:paraId="291AE93A" w14:textId="019A4234" w:rsidR="008A44F2" w:rsidRPr="008A44F2" w:rsidRDefault="008A44F2" w:rsidP="005B2D07">
      <w:pPr>
        <w:spacing w:line="336" w:lineRule="auto"/>
        <w:jc w:val="both"/>
        <w:rPr>
          <w:rFonts w:ascii="Garamond" w:hAnsi="Garamond"/>
          <w:sz w:val="28"/>
          <w:szCs w:val="28"/>
        </w:rPr>
      </w:pPr>
      <w:r w:rsidRPr="008A44F2">
        <w:rPr>
          <w:rFonts w:ascii="Garamond" w:hAnsi="Garamond"/>
          <w:sz w:val="28"/>
          <w:szCs w:val="28"/>
        </w:rPr>
        <w:t xml:space="preserve">sulla base dell'azione di </w:t>
      </w:r>
      <w:proofErr w:type="spellStart"/>
      <w:r w:rsidRPr="008A44F2">
        <w:rPr>
          <w:rFonts w:ascii="Garamond" w:hAnsi="Garamond"/>
          <w:sz w:val="28"/>
          <w:szCs w:val="28"/>
        </w:rPr>
        <w:t>advocacy</w:t>
      </w:r>
      <w:proofErr w:type="spellEnd"/>
      <w:r w:rsidRPr="008A44F2">
        <w:rPr>
          <w:rFonts w:ascii="Garamond" w:hAnsi="Garamond"/>
          <w:sz w:val="28"/>
          <w:szCs w:val="28"/>
        </w:rPr>
        <w:t xml:space="preserve"> della </w:t>
      </w:r>
      <w:r w:rsidR="005B2D07">
        <w:rPr>
          <w:rFonts w:ascii="Garamond" w:hAnsi="Garamond"/>
          <w:sz w:val="28"/>
          <w:szCs w:val="28"/>
        </w:rPr>
        <w:t>f</w:t>
      </w:r>
      <w:r w:rsidRPr="008A44F2">
        <w:rPr>
          <w:rFonts w:ascii="Garamond" w:hAnsi="Garamond"/>
          <w:sz w:val="28"/>
          <w:szCs w:val="28"/>
        </w:rPr>
        <w:t xml:space="preserve">io.PSD (Federazione </w:t>
      </w:r>
      <w:r w:rsidR="005B2D07">
        <w:rPr>
          <w:rFonts w:ascii="Garamond" w:hAnsi="Garamond"/>
          <w:sz w:val="28"/>
          <w:szCs w:val="28"/>
        </w:rPr>
        <w:t>I</w:t>
      </w:r>
      <w:r w:rsidRPr="008A44F2">
        <w:rPr>
          <w:rFonts w:ascii="Garamond" w:hAnsi="Garamond"/>
          <w:sz w:val="28"/>
          <w:szCs w:val="28"/>
        </w:rPr>
        <w:t xml:space="preserve">taliana </w:t>
      </w:r>
      <w:r w:rsidR="005B2D07">
        <w:rPr>
          <w:rFonts w:ascii="Garamond" w:hAnsi="Garamond"/>
          <w:sz w:val="28"/>
          <w:szCs w:val="28"/>
        </w:rPr>
        <w:t>O</w:t>
      </w:r>
      <w:r w:rsidRPr="008A44F2">
        <w:rPr>
          <w:rFonts w:ascii="Garamond" w:hAnsi="Garamond"/>
          <w:sz w:val="28"/>
          <w:szCs w:val="28"/>
        </w:rPr>
        <w:t>rganismi per le Persone Senza Dimora)</w:t>
      </w:r>
      <w:r w:rsidR="007B20D9">
        <w:rPr>
          <w:rFonts w:ascii="Garamond" w:hAnsi="Garamond"/>
          <w:sz w:val="28"/>
          <w:szCs w:val="28"/>
        </w:rPr>
        <w:t xml:space="preserve"> e di Avvocato di Strada</w:t>
      </w:r>
      <w:bookmarkStart w:id="0" w:name="_GoBack"/>
      <w:bookmarkEnd w:id="0"/>
    </w:p>
    <w:p w14:paraId="08721B75" w14:textId="77777777" w:rsidR="008A44F2" w:rsidRPr="00646C0D" w:rsidRDefault="008A44F2" w:rsidP="005B2D07">
      <w:pPr>
        <w:spacing w:line="336" w:lineRule="auto"/>
        <w:jc w:val="center"/>
        <w:rPr>
          <w:rFonts w:ascii="Garamond" w:hAnsi="Garamond"/>
          <w:b/>
          <w:sz w:val="28"/>
          <w:szCs w:val="28"/>
        </w:rPr>
      </w:pPr>
      <w:r w:rsidRPr="00646C0D">
        <w:rPr>
          <w:rFonts w:ascii="Garamond" w:hAnsi="Garamond"/>
          <w:b/>
          <w:sz w:val="28"/>
          <w:szCs w:val="28"/>
        </w:rPr>
        <w:t>CONSIDERATO CHE</w:t>
      </w:r>
    </w:p>
    <w:p w14:paraId="1C9412A0" w14:textId="47DBF245" w:rsidR="008A44F2" w:rsidRPr="008A44F2" w:rsidRDefault="008A44F2" w:rsidP="005B2D07">
      <w:pPr>
        <w:spacing w:line="336" w:lineRule="auto"/>
        <w:jc w:val="both"/>
        <w:rPr>
          <w:rFonts w:ascii="Garamond" w:hAnsi="Garamond"/>
          <w:sz w:val="28"/>
          <w:szCs w:val="28"/>
        </w:rPr>
      </w:pPr>
      <w:r w:rsidRPr="008A44F2">
        <w:rPr>
          <w:rFonts w:ascii="Garamond" w:hAnsi="Garamond"/>
          <w:sz w:val="28"/>
          <w:szCs w:val="28"/>
        </w:rPr>
        <w:t xml:space="preserve">L'art. 1 della Legge 24 dicembre 1954, n. 1228 rubricata: “Ordinamento delle anagrafi della popolazione residente”, prevede che, in ogni Comune deve essere tenuta l'Anagrafe della popolazione residente, ove sono registrate le posizioni relative alle singole persone, alle famiglie e alle convivenze, nonché le posizioni relative alle persone </w:t>
      </w:r>
      <w:r w:rsidR="00A979B7">
        <w:rPr>
          <w:rFonts w:ascii="Garamond" w:hAnsi="Garamond"/>
          <w:sz w:val="28"/>
          <w:szCs w:val="28"/>
        </w:rPr>
        <w:t>senza dimora</w:t>
      </w:r>
      <w:r w:rsidRPr="008A44F2">
        <w:rPr>
          <w:rFonts w:ascii="Garamond" w:hAnsi="Garamond"/>
          <w:sz w:val="28"/>
          <w:szCs w:val="28"/>
        </w:rPr>
        <w:t xml:space="preserve"> che hanno stabilito nel Comune il proprio domicilio.</w:t>
      </w:r>
    </w:p>
    <w:p w14:paraId="779B43A9" w14:textId="497939C7" w:rsidR="008A44F2" w:rsidRPr="008A44F2" w:rsidRDefault="008A44F2" w:rsidP="005B2D07">
      <w:pPr>
        <w:spacing w:line="336" w:lineRule="auto"/>
        <w:jc w:val="both"/>
        <w:rPr>
          <w:rFonts w:ascii="Garamond" w:hAnsi="Garamond"/>
          <w:sz w:val="28"/>
          <w:szCs w:val="28"/>
        </w:rPr>
      </w:pPr>
      <w:r w:rsidRPr="008A44F2">
        <w:rPr>
          <w:rFonts w:ascii="Garamond" w:hAnsi="Garamond"/>
          <w:sz w:val="28"/>
          <w:szCs w:val="28"/>
          <w:bdr w:val="none" w:sz="0" w:space="0" w:color="auto" w:frame="1"/>
        </w:rPr>
        <w:t xml:space="preserve">Relativamente alle persone </w:t>
      </w:r>
      <w:r w:rsidR="00A979B7">
        <w:rPr>
          <w:rFonts w:ascii="Garamond" w:hAnsi="Garamond"/>
          <w:sz w:val="28"/>
          <w:szCs w:val="28"/>
          <w:bdr w:val="none" w:sz="0" w:space="0" w:color="auto" w:frame="1"/>
        </w:rPr>
        <w:t>senza dimora</w:t>
      </w:r>
      <w:r w:rsidRPr="008A44F2">
        <w:rPr>
          <w:rFonts w:ascii="Garamond" w:hAnsi="Garamond"/>
          <w:sz w:val="28"/>
          <w:szCs w:val="28"/>
          <w:bdr w:val="none" w:sz="0" w:space="0" w:color="auto" w:frame="1"/>
        </w:rPr>
        <w:t>, il comma 3° dell'art. 2 della sopracitata legge stabilisce che dette persone sono da considerarsi residenti nel Comune ove hanno il domicilio, e in mancanza di questo, nel Comune di nascita.</w:t>
      </w:r>
    </w:p>
    <w:p w14:paraId="1A7FABCC" w14:textId="04631247" w:rsidR="008A44F2" w:rsidRPr="008A44F2" w:rsidRDefault="008A44F2" w:rsidP="005B2D07">
      <w:pPr>
        <w:spacing w:line="336" w:lineRule="auto"/>
        <w:jc w:val="both"/>
        <w:rPr>
          <w:rFonts w:ascii="Garamond" w:hAnsi="Garamond"/>
          <w:sz w:val="28"/>
          <w:szCs w:val="28"/>
        </w:rPr>
      </w:pPr>
      <w:r w:rsidRPr="008A44F2">
        <w:rPr>
          <w:rFonts w:ascii="Garamond" w:hAnsi="Garamond"/>
          <w:sz w:val="28"/>
          <w:szCs w:val="28"/>
        </w:rPr>
        <w:t xml:space="preserve">In conformità alle norme succitate, l'art. 1 del D.P.R. 30 maggio 1989, n. 223 rubricato “Nuovo regolamento anagrafico della popolazione residente” dispone in aderenza che siano iscritte nell'Anagrafe della popolazione residente le persone </w:t>
      </w:r>
      <w:r w:rsidR="00A979B7">
        <w:rPr>
          <w:rFonts w:ascii="Garamond" w:hAnsi="Garamond"/>
          <w:sz w:val="28"/>
          <w:szCs w:val="28"/>
        </w:rPr>
        <w:t>senza dimora</w:t>
      </w:r>
      <w:r w:rsidRPr="008A44F2">
        <w:rPr>
          <w:rFonts w:ascii="Garamond" w:hAnsi="Garamond"/>
          <w:sz w:val="28"/>
          <w:szCs w:val="28"/>
        </w:rPr>
        <w:t>, che hanno stabilito nel Comune il proprio domicilio.</w:t>
      </w:r>
    </w:p>
    <w:p w14:paraId="2EEE7F43" w14:textId="28C81C9F" w:rsidR="008A44F2" w:rsidRPr="008A44F2" w:rsidRDefault="008A44F2" w:rsidP="005B2D07">
      <w:pPr>
        <w:spacing w:line="336" w:lineRule="auto"/>
        <w:jc w:val="both"/>
        <w:rPr>
          <w:rFonts w:ascii="Garamond" w:hAnsi="Garamond"/>
          <w:sz w:val="28"/>
          <w:szCs w:val="28"/>
        </w:rPr>
      </w:pPr>
      <w:r w:rsidRPr="008A44F2">
        <w:rPr>
          <w:rFonts w:ascii="Garamond" w:hAnsi="Garamond"/>
          <w:sz w:val="28"/>
          <w:szCs w:val="28"/>
        </w:rPr>
        <w:t xml:space="preserve">Nelle “Note illustrative” della legge e del regolamento anagrafico, edite dall'Istituto Centrale di Statistica (Anagrafe della popolazione - ISTAT - Metodi e Norme - Serie B, n. 29 - Ed. 1992), la persona </w:t>
      </w:r>
      <w:r w:rsidR="00A979B7">
        <w:rPr>
          <w:rFonts w:ascii="Garamond" w:hAnsi="Garamond"/>
          <w:sz w:val="28"/>
          <w:szCs w:val="28"/>
        </w:rPr>
        <w:t>senza dimora</w:t>
      </w:r>
      <w:r w:rsidRPr="008A44F2">
        <w:rPr>
          <w:rFonts w:ascii="Garamond" w:hAnsi="Garamond"/>
          <w:sz w:val="28"/>
          <w:szCs w:val="28"/>
        </w:rPr>
        <w:t xml:space="preserve"> viene definita, ai fini anagrafici, “</w:t>
      </w:r>
      <w:r w:rsidRPr="008A44F2">
        <w:rPr>
          <w:rFonts w:ascii="Garamond" w:hAnsi="Garamond"/>
          <w:i/>
          <w:iCs/>
          <w:sz w:val="28"/>
          <w:szCs w:val="28"/>
        </w:rPr>
        <w:t>colui che non ha in alcun comune quella dimora abituale che costituisce l'elemento necessario per l'accertamento della residenza (girovaghi, artisti delle imprese spettacoli viaggianti, commercianti e artigiani ambulanti)</w:t>
      </w:r>
      <w:r w:rsidRPr="008A44F2">
        <w:rPr>
          <w:rFonts w:ascii="Garamond" w:hAnsi="Garamond"/>
          <w:sz w:val="28"/>
          <w:szCs w:val="28"/>
        </w:rPr>
        <w:t xml:space="preserve">”. Per tali persone viene stabilito doversi adottare il criterio dell'iscrizione anagrafica nel Comune di domicilio, e cioè nel luogo ove la persona stabilisce la sede principale dei suoi affari ed interessi (art. 43 C.C.) essendo questo l'unico elemento che possa legare le persone </w:t>
      </w:r>
      <w:r w:rsidR="00A979B7">
        <w:rPr>
          <w:rFonts w:ascii="Garamond" w:hAnsi="Garamond"/>
          <w:sz w:val="28"/>
          <w:szCs w:val="28"/>
        </w:rPr>
        <w:t>senza dimora</w:t>
      </w:r>
      <w:r w:rsidRPr="008A44F2">
        <w:rPr>
          <w:rFonts w:ascii="Garamond" w:hAnsi="Garamond"/>
          <w:sz w:val="28"/>
          <w:szCs w:val="28"/>
        </w:rPr>
        <w:t xml:space="preserve"> ad un determinato Comune.</w:t>
      </w:r>
    </w:p>
    <w:p w14:paraId="0E94F221" w14:textId="5BEA0B3E" w:rsidR="00646C0D" w:rsidRPr="008A44F2" w:rsidRDefault="00646C0D" w:rsidP="005B2D07">
      <w:pPr>
        <w:spacing w:line="33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Viene qui sottolineato che l’orientamento della</w:t>
      </w:r>
      <w:r w:rsidRPr="00646C0D">
        <w:rPr>
          <w:rFonts w:ascii="Garamond" w:hAnsi="Garamond"/>
          <w:sz w:val="28"/>
          <w:szCs w:val="28"/>
        </w:rPr>
        <w:t xml:space="preserve"> giurisprudenza sul punto “domicilio” si </w:t>
      </w:r>
      <w:r>
        <w:rPr>
          <w:rFonts w:ascii="Garamond" w:hAnsi="Garamond"/>
          <w:sz w:val="28"/>
          <w:szCs w:val="28"/>
        </w:rPr>
        <w:t>è ormai così consolidato:</w:t>
      </w:r>
      <w:r w:rsidR="00A979B7">
        <w:rPr>
          <w:rFonts w:ascii="Garamond" w:hAnsi="Garamond"/>
          <w:sz w:val="28"/>
          <w:szCs w:val="28"/>
        </w:rPr>
        <w:t xml:space="preserve"> </w:t>
      </w:r>
      <w:r w:rsidRPr="00646C0D">
        <w:rPr>
          <w:rFonts w:ascii="Garamond" w:hAnsi="Garamond"/>
          <w:i/>
          <w:sz w:val="28"/>
          <w:szCs w:val="28"/>
        </w:rPr>
        <w:t xml:space="preserve">“il luogo in cui la persona ha stabilito la sede principale dei suoi affari e dei suoi interessi, che non va individuato solo con riferimento ai rapporti economici e patrimoniali, ma anche ai suoi interessi morali, sociali e familiari, che confluiscono normalmente nel luogo ove la stessa vive con la propria famiglia; ne consegue che il domicilio è caratterizzato dall’intenzione di costituire in un determinato </w:t>
      </w:r>
      <w:r w:rsidRPr="00646C0D">
        <w:rPr>
          <w:rFonts w:ascii="Garamond" w:hAnsi="Garamond"/>
          <w:i/>
          <w:sz w:val="28"/>
          <w:szCs w:val="28"/>
        </w:rPr>
        <w:lastRenderedPageBreak/>
        <w:t>luogo il centro principale delle proprie relazioni familiari, sociali ed economiche”</w:t>
      </w:r>
      <w:r w:rsidRPr="00646C0D">
        <w:rPr>
          <w:rFonts w:ascii="Garamond" w:hAnsi="Garamond"/>
          <w:sz w:val="28"/>
          <w:szCs w:val="28"/>
        </w:rPr>
        <w:t xml:space="preserve"> (</w:t>
      </w:r>
      <w:proofErr w:type="spellStart"/>
      <w:r w:rsidRPr="00646C0D">
        <w:rPr>
          <w:rFonts w:ascii="Garamond" w:hAnsi="Garamond"/>
          <w:bCs/>
          <w:sz w:val="28"/>
          <w:szCs w:val="28"/>
        </w:rPr>
        <w:t>Cass</w:t>
      </w:r>
      <w:proofErr w:type="spellEnd"/>
      <w:r w:rsidRPr="00646C0D">
        <w:rPr>
          <w:rFonts w:ascii="Garamond" w:hAnsi="Garamond"/>
          <w:bCs/>
          <w:sz w:val="28"/>
          <w:szCs w:val="28"/>
        </w:rPr>
        <w:t>. civ. Sez. III (</w:t>
      </w:r>
      <w:proofErr w:type="spellStart"/>
      <w:r w:rsidRPr="00646C0D">
        <w:rPr>
          <w:rFonts w:ascii="Garamond" w:hAnsi="Garamond"/>
          <w:bCs/>
          <w:sz w:val="28"/>
          <w:szCs w:val="28"/>
        </w:rPr>
        <w:t>Ord</w:t>
      </w:r>
      <w:proofErr w:type="spellEnd"/>
      <w:r w:rsidRPr="00646C0D">
        <w:rPr>
          <w:rFonts w:ascii="Garamond" w:hAnsi="Garamond"/>
          <w:bCs/>
          <w:sz w:val="28"/>
          <w:szCs w:val="28"/>
        </w:rPr>
        <w:t>.), 08-03-2005, n. 5006</w:t>
      </w:r>
      <w:r>
        <w:rPr>
          <w:rFonts w:ascii="Garamond" w:hAnsi="Garamond"/>
          <w:sz w:val="28"/>
          <w:szCs w:val="28"/>
        </w:rPr>
        <w:t>),</w:t>
      </w:r>
      <w:r w:rsidRPr="00646C0D">
        <w:rPr>
          <w:rFonts w:ascii="Garamond" w:hAnsi="Garamond"/>
          <w:sz w:val="28"/>
          <w:szCs w:val="28"/>
        </w:rPr>
        <w:t xml:space="preserve"> </w:t>
      </w:r>
      <w:r w:rsidRPr="00646C0D">
        <w:rPr>
          <w:rFonts w:ascii="Garamond" w:hAnsi="Garamond" w:cs="Symbol"/>
          <w:sz w:val="28"/>
          <w:szCs w:val="28"/>
        </w:rPr>
        <w:t> </w:t>
      </w:r>
      <w:r>
        <w:rPr>
          <w:rFonts w:ascii="Garamond" w:hAnsi="Garamond" w:cs="Symbol"/>
          <w:sz w:val="28"/>
          <w:szCs w:val="28"/>
        </w:rPr>
        <w:t xml:space="preserve">e ancora, </w:t>
      </w:r>
      <w:r w:rsidRPr="00646C0D">
        <w:rPr>
          <w:rFonts w:ascii="Garamond" w:hAnsi="Garamond"/>
          <w:i/>
          <w:sz w:val="28"/>
          <w:szCs w:val="28"/>
        </w:rPr>
        <w:t>“il luogo ove la persona, alla cui volontà occorre principalmente avere riguardo, concentra la generalità dei propri interessi, sia materiali ed economici, sia morali, sociali e familiari”</w:t>
      </w:r>
      <w:r w:rsidRPr="00646C0D">
        <w:rPr>
          <w:rFonts w:ascii="Garamond" w:hAnsi="Garamond"/>
          <w:sz w:val="28"/>
          <w:szCs w:val="28"/>
        </w:rPr>
        <w:t xml:space="preserve"> (</w:t>
      </w:r>
      <w:proofErr w:type="spellStart"/>
      <w:r w:rsidRPr="00646C0D">
        <w:rPr>
          <w:rFonts w:ascii="Garamond" w:hAnsi="Garamond"/>
          <w:bCs/>
          <w:sz w:val="28"/>
          <w:szCs w:val="28"/>
        </w:rPr>
        <w:t>Cass</w:t>
      </w:r>
      <w:proofErr w:type="spellEnd"/>
      <w:r w:rsidRPr="00646C0D">
        <w:rPr>
          <w:rFonts w:ascii="Garamond" w:hAnsi="Garamond"/>
          <w:bCs/>
          <w:sz w:val="28"/>
          <w:szCs w:val="28"/>
        </w:rPr>
        <w:t xml:space="preserve">. </w:t>
      </w:r>
      <w:proofErr w:type="spellStart"/>
      <w:r w:rsidRPr="00646C0D">
        <w:rPr>
          <w:rFonts w:ascii="Garamond" w:hAnsi="Garamond"/>
          <w:bCs/>
          <w:sz w:val="28"/>
          <w:szCs w:val="28"/>
        </w:rPr>
        <w:t>Civ</w:t>
      </w:r>
      <w:proofErr w:type="spellEnd"/>
      <w:r w:rsidRPr="00646C0D">
        <w:rPr>
          <w:rFonts w:ascii="Garamond" w:hAnsi="Garamond"/>
          <w:bCs/>
          <w:sz w:val="28"/>
          <w:szCs w:val="28"/>
        </w:rPr>
        <w:t>. 20 luglio 1999, n. 775</w:t>
      </w:r>
      <w:r w:rsidRPr="00646C0D">
        <w:rPr>
          <w:rFonts w:ascii="Garamond" w:hAnsi="Garamond"/>
          <w:sz w:val="28"/>
          <w:szCs w:val="28"/>
        </w:rPr>
        <w:t xml:space="preserve">). </w:t>
      </w:r>
      <w:r w:rsidRPr="00646C0D">
        <w:rPr>
          <w:rFonts w:ascii="Garamond" w:hAnsi="Garamond" w:cs="Symbol"/>
          <w:sz w:val="28"/>
          <w:szCs w:val="28"/>
        </w:rPr>
        <w:t> </w:t>
      </w:r>
      <w:r>
        <w:rPr>
          <w:rFonts w:ascii="Garamond" w:hAnsi="Garamond"/>
          <w:sz w:val="28"/>
          <w:szCs w:val="28"/>
        </w:rPr>
        <w:t>Infine</w:t>
      </w:r>
      <w:r w:rsidRPr="00646C0D">
        <w:rPr>
          <w:rFonts w:ascii="Garamond" w:hAnsi="Garamond"/>
          <w:sz w:val="28"/>
          <w:szCs w:val="28"/>
        </w:rPr>
        <w:t xml:space="preserve">, sempre per quanto riguarda le persone </w:t>
      </w:r>
      <w:r w:rsidR="00A979B7">
        <w:rPr>
          <w:rFonts w:ascii="Garamond" w:hAnsi="Garamond"/>
          <w:sz w:val="28"/>
          <w:szCs w:val="28"/>
        </w:rPr>
        <w:t>senza dimora</w:t>
      </w:r>
      <w:r w:rsidRPr="00646C0D">
        <w:rPr>
          <w:rFonts w:ascii="Garamond" w:hAnsi="Garamond"/>
          <w:sz w:val="28"/>
          <w:szCs w:val="28"/>
        </w:rPr>
        <w:t xml:space="preserve"> e senza tetto, l’interpretazione del domicilio</w:t>
      </w:r>
      <w:r>
        <w:rPr>
          <w:rFonts w:ascii="Garamond" w:hAnsi="Garamond"/>
          <w:sz w:val="28"/>
          <w:szCs w:val="28"/>
        </w:rPr>
        <w:t xml:space="preserve"> sopracitata risulta</w:t>
      </w:r>
      <w:r w:rsidRPr="00646C0D">
        <w:rPr>
          <w:rFonts w:ascii="Garamond" w:hAnsi="Garamond"/>
          <w:sz w:val="28"/>
          <w:szCs w:val="28"/>
        </w:rPr>
        <w:t xml:space="preserve"> conforme sia alla nozione tutelata </w:t>
      </w:r>
      <w:r w:rsidRPr="00646C0D">
        <w:rPr>
          <w:rFonts w:ascii="Garamond" w:hAnsi="Garamond"/>
          <w:bCs/>
          <w:sz w:val="28"/>
          <w:szCs w:val="28"/>
        </w:rPr>
        <w:t xml:space="preserve">dall’art. 14 </w:t>
      </w:r>
      <w:r>
        <w:rPr>
          <w:rFonts w:ascii="Garamond" w:hAnsi="Garamond"/>
          <w:bCs/>
          <w:sz w:val="28"/>
          <w:szCs w:val="28"/>
        </w:rPr>
        <w:t xml:space="preserve">della </w:t>
      </w:r>
      <w:r w:rsidRPr="00646C0D">
        <w:rPr>
          <w:rFonts w:ascii="Garamond" w:hAnsi="Garamond"/>
          <w:bCs/>
          <w:sz w:val="28"/>
          <w:szCs w:val="28"/>
        </w:rPr>
        <w:t>Cost</w:t>
      </w:r>
      <w:r>
        <w:rPr>
          <w:rFonts w:ascii="Garamond" w:hAnsi="Garamond"/>
          <w:bCs/>
          <w:sz w:val="28"/>
          <w:szCs w:val="28"/>
        </w:rPr>
        <w:t>ituzione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646C0D">
        <w:rPr>
          <w:rFonts w:ascii="Garamond" w:hAnsi="Garamond"/>
          <w:bCs/>
          <w:i/>
          <w:sz w:val="28"/>
          <w:szCs w:val="28"/>
        </w:rPr>
        <w:t>“</w:t>
      </w:r>
      <w:r w:rsidRPr="00646C0D">
        <w:rPr>
          <w:rFonts w:ascii="Garamond" w:hAnsi="Garamond"/>
          <w:i/>
          <w:sz w:val="28"/>
          <w:szCs w:val="28"/>
        </w:rPr>
        <w:t>il domicilio costituzionale è qualsiasi luogo di privata dimora, ancorché si tratti di un’auto”</w:t>
      </w:r>
      <w:r>
        <w:rPr>
          <w:rFonts w:ascii="Garamond" w:hAnsi="Garamond"/>
          <w:sz w:val="28"/>
          <w:szCs w:val="28"/>
        </w:rPr>
        <w:t xml:space="preserve"> </w:t>
      </w:r>
      <w:r w:rsidRPr="00646C0D">
        <w:rPr>
          <w:rFonts w:ascii="Garamond" w:hAnsi="Garamond"/>
          <w:sz w:val="28"/>
          <w:szCs w:val="28"/>
        </w:rPr>
        <w:t>(</w:t>
      </w:r>
      <w:r w:rsidRPr="00646C0D">
        <w:rPr>
          <w:rFonts w:ascii="Garamond" w:hAnsi="Garamond"/>
          <w:bCs/>
          <w:sz w:val="28"/>
          <w:szCs w:val="28"/>
        </w:rPr>
        <w:t xml:space="preserve">Corte </w:t>
      </w:r>
      <w:proofErr w:type="spellStart"/>
      <w:r w:rsidRPr="00646C0D">
        <w:rPr>
          <w:rFonts w:ascii="Garamond" w:hAnsi="Garamond"/>
          <w:bCs/>
          <w:sz w:val="28"/>
          <w:szCs w:val="28"/>
        </w:rPr>
        <w:t>cost</w:t>
      </w:r>
      <w:proofErr w:type="spellEnd"/>
      <w:r w:rsidRPr="00646C0D">
        <w:rPr>
          <w:rFonts w:ascii="Garamond" w:hAnsi="Garamond"/>
          <w:bCs/>
          <w:sz w:val="28"/>
          <w:szCs w:val="28"/>
        </w:rPr>
        <w:t xml:space="preserve">. </w:t>
      </w:r>
      <w:proofErr w:type="spellStart"/>
      <w:r w:rsidRPr="00646C0D">
        <w:rPr>
          <w:rFonts w:ascii="Garamond" w:hAnsi="Garamond"/>
          <w:bCs/>
          <w:sz w:val="28"/>
          <w:szCs w:val="28"/>
        </w:rPr>
        <w:t>sent</w:t>
      </w:r>
      <w:proofErr w:type="spellEnd"/>
      <w:r w:rsidRPr="00646C0D">
        <w:rPr>
          <w:rFonts w:ascii="Garamond" w:hAnsi="Garamond"/>
          <w:bCs/>
          <w:sz w:val="28"/>
          <w:szCs w:val="28"/>
        </w:rPr>
        <w:t>. n. 88/1987</w:t>
      </w:r>
      <w:r w:rsidRPr="00646C0D">
        <w:rPr>
          <w:rFonts w:ascii="Garamond" w:hAnsi="Garamond"/>
          <w:sz w:val="28"/>
          <w:szCs w:val="28"/>
        </w:rPr>
        <w:t xml:space="preserve">) che alla nozione di domicilio tutelata </w:t>
      </w:r>
      <w:r w:rsidRPr="00646C0D">
        <w:rPr>
          <w:rFonts w:ascii="Garamond" w:hAnsi="Garamond"/>
          <w:bCs/>
          <w:sz w:val="28"/>
          <w:szCs w:val="28"/>
        </w:rPr>
        <w:t>dall’art. 8 CEDU</w:t>
      </w:r>
      <w:r w:rsidRPr="00646C0D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“</w:t>
      </w:r>
      <w:r w:rsidRPr="00646C0D">
        <w:rPr>
          <w:rFonts w:ascii="Garamond" w:hAnsi="Garamond"/>
          <w:i/>
          <w:sz w:val="28"/>
          <w:szCs w:val="28"/>
        </w:rPr>
        <w:t>lo spazio fisico determinato in cui si svolge la vita privata e familiare</w:t>
      </w:r>
      <w:r>
        <w:rPr>
          <w:rFonts w:ascii="Garamond" w:hAnsi="Garamond"/>
          <w:sz w:val="28"/>
          <w:szCs w:val="28"/>
        </w:rPr>
        <w:t>”</w:t>
      </w:r>
      <w:r w:rsidRPr="00646C0D">
        <w:rPr>
          <w:rFonts w:ascii="Garamond" w:hAnsi="Garamond"/>
          <w:sz w:val="28"/>
          <w:szCs w:val="28"/>
        </w:rPr>
        <w:t xml:space="preserve"> (</w:t>
      </w:r>
      <w:r w:rsidRPr="00646C0D">
        <w:rPr>
          <w:rFonts w:ascii="Garamond" w:hAnsi="Garamond"/>
          <w:bCs/>
          <w:sz w:val="28"/>
          <w:szCs w:val="28"/>
        </w:rPr>
        <w:t xml:space="preserve">Corte di Strasburgo </w:t>
      </w:r>
      <w:proofErr w:type="spellStart"/>
      <w:r w:rsidRPr="00646C0D">
        <w:rPr>
          <w:rFonts w:ascii="Garamond" w:hAnsi="Garamond"/>
          <w:bCs/>
          <w:sz w:val="28"/>
          <w:szCs w:val="28"/>
        </w:rPr>
        <w:t>sent</w:t>
      </w:r>
      <w:proofErr w:type="spellEnd"/>
      <w:r w:rsidRPr="00646C0D">
        <w:rPr>
          <w:rFonts w:ascii="Garamond" w:hAnsi="Garamond"/>
          <w:bCs/>
          <w:sz w:val="28"/>
          <w:szCs w:val="28"/>
        </w:rPr>
        <w:t>. 2.11.2006</w:t>
      </w:r>
      <w:r w:rsidRPr="00646C0D">
        <w:rPr>
          <w:rFonts w:ascii="Garamond" w:hAnsi="Garamond"/>
          <w:sz w:val="28"/>
          <w:szCs w:val="28"/>
        </w:rPr>
        <w:t xml:space="preserve">). </w:t>
      </w:r>
      <w:r w:rsidRPr="00646C0D">
        <w:rPr>
          <w:rFonts w:ascii="Garamond" w:hAnsi="Garamond" w:cs="Symbol"/>
          <w:sz w:val="28"/>
          <w:szCs w:val="28"/>
        </w:rPr>
        <w:t> </w:t>
      </w:r>
    </w:p>
    <w:p w14:paraId="031985BA" w14:textId="77777777" w:rsidR="008A44F2" w:rsidRPr="00646C0D" w:rsidRDefault="008A44F2" w:rsidP="005B2D07">
      <w:pPr>
        <w:spacing w:line="336" w:lineRule="auto"/>
        <w:jc w:val="center"/>
        <w:rPr>
          <w:rFonts w:ascii="Garamond" w:hAnsi="Garamond"/>
          <w:b/>
          <w:sz w:val="28"/>
          <w:szCs w:val="28"/>
        </w:rPr>
      </w:pPr>
      <w:r w:rsidRPr="00646C0D">
        <w:rPr>
          <w:rFonts w:ascii="Garamond" w:hAnsi="Garamond"/>
          <w:b/>
          <w:sz w:val="28"/>
          <w:szCs w:val="28"/>
        </w:rPr>
        <w:t>TANTO CONSIDERATO</w:t>
      </w:r>
    </w:p>
    <w:p w14:paraId="57348B05" w14:textId="4F95E0A9" w:rsidR="00A979B7" w:rsidRDefault="008A44F2" w:rsidP="005B2D07">
      <w:pPr>
        <w:spacing w:line="336" w:lineRule="auto"/>
        <w:jc w:val="both"/>
        <w:rPr>
          <w:rFonts w:ascii="Garamond" w:hAnsi="Garamond"/>
          <w:sz w:val="28"/>
          <w:szCs w:val="28"/>
        </w:rPr>
      </w:pPr>
      <w:r w:rsidRPr="008A44F2">
        <w:rPr>
          <w:rFonts w:ascii="Garamond" w:hAnsi="Garamond"/>
          <w:sz w:val="28"/>
          <w:szCs w:val="28"/>
        </w:rPr>
        <w:t xml:space="preserve">Appare evidente che il ricorso al criterio del domicilio, sede principale degli affari e degli interessi (nel senso economico e patrimoniale) delle persone </w:t>
      </w:r>
      <w:r w:rsidR="00A979B7">
        <w:rPr>
          <w:rFonts w:ascii="Garamond" w:hAnsi="Garamond"/>
          <w:sz w:val="28"/>
          <w:szCs w:val="28"/>
        </w:rPr>
        <w:t>senza dimora</w:t>
      </w:r>
      <w:r w:rsidRPr="008A44F2">
        <w:rPr>
          <w:rFonts w:ascii="Garamond" w:hAnsi="Garamond"/>
          <w:sz w:val="28"/>
          <w:szCs w:val="28"/>
        </w:rPr>
        <w:t xml:space="preserve"> assume la veste di un criterio in qualche modo residuale, non potendosi fare riferimento per dette persone al concetto di dimora abituale; dunque, l'iscrizione anagrafica nel Comune di domicilio viene incontro ai legittimi interessi delle persone </w:t>
      </w:r>
      <w:r w:rsidR="00A979B7">
        <w:rPr>
          <w:rFonts w:ascii="Garamond" w:hAnsi="Garamond"/>
          <w:sz w:val="28"/>
          <w:szCs w:val="28"/>
        </w:rPr>
        <w:t>senza dimora</w:t>
      </w:r>
      <w:r w:rsidRPr="008A44F2">
        <w:rPr>
          <w:rFonts w:ascii="Garamond" w:hAnsi="Garamond"/>
          <w:sz w:val="28"/>
          <w:szCs w:val="28"/>
        </w:rPr>
        <w:t>, conferendogli la possibilità di iscriversi nell'Anagrafe di quel Comune che possa essere considerato come quello cui più frequentemente egli fa capo, ovvero quello in cui egli ha dei parenti o un centro di affari o un rappresentante o addirittura il solo recapito e che per lui sia più facilmente raggiungibile per ottenere le certificazioni anagrafiche, occorrenti per accedere a quei vantaggi normalmente riconosciuti a tutti, come la pensione, l'assistenza sanitaria e la fruizione dei servizi sociali della Città.</w:t>
      </w:r>
    </w:p>
    <w:p w14:paraId="1AB84489" w14:textId="68F94293" w:rsidR="00A979B7" w:rsidRDefault="008A44F2" w:rsidP="005B2D07">
      <w:pPr>
        <w:spacing w:line="336" w:lineRule="auto"/>
        <w:jc w:val="both"/>
        <w:rPr>
          <w:rFonts w:ascii="Garamond" w:hAnsi="Garamond"/>
          <w:sz w:val="28"/>
          <w:szCs w:val="28"/>
        </w:rPr>
      </w:pPr>
      <w:r w:rsidRPr="008A44F2">
        <w:rPr>
          <w:rFonts w:ascii="Garamond" w:hAnsi="Garamond"/>
          <w:sz w:val="28"/>
          <w:szCs w:val="28"/>
        </w:rPr>
        <w:t>La scelta dell'elezione del domicilio ai fini anagrafici deve essere lasciata, evidentemente, all'interessato, inoltre, le sopracitate “</w:t>
      </w:r>
      <w:r w:rsidRPr="008A44F2">
        <w:rPr>
          <w:rFonts w:ascii="Garamond" w:hAnsi="Garamond"/>
          <w:i/>
          <w:iCs/>
          <w:sz w:val="28"/>
          <w:szCs w:val="28"/>
        </w:rPr>
        <w:t>Note illustrative</w:t>
      </w:r>
      <w:r w:rsidRPr="008A44F2">
        <w:rPr>
          <w:rFonts w:ascii="Garamond" w:hAnsi="Garamond"/>
          <w:sz w:val="28"/>
          <w:szCs w:val="28"/>
        </w:rPr>
        <w:t xml:space="preserve">” ISTAT formulano l'ipotesi che il soggetto </w:t>
      </w:r>
      <w:r w:rsidR="00A979B7">
        <w:rPr>
          <w:rFonts w:ascii="Garamond" w:hAnsi="Garamond"/>
          <w:sz w:val="28"/>
          <w:szCs w:val="28"/>
        </w:rPr>
        <w:t>senza dimora</w:t>
      </w:r>
      <w:r w:rsidRPr="008A44F2">
        <w:rPr>
          <w:rFonts w:ascii="Garamond" w:hAnsi="Garamond"/>
          <w:sz w:val="28"/>
          <w:szCs w:val="28"/>
        </w:rPr>
        <w:t xml:space="preserve"> non abbia un recapito o un vero e proprio domicilio (sede principale dei propri affari) nel Comune, ma elegga domicilio ai soli fini di chiedere e ottenere l'iscrizione anagrafica, come è suo diritto, infatti la residenza è da considerare una vera e propria "</w:t>
      </w:r>
      <w:r w:rsidRPr="008A44F2">
        <w:rPr>
          <w:rFonts w:ascii="Garamond" w:hAnsi="Garamond"/>
          <w:i/>
          <w:iCs/>
          <w:sz w:val="28"/>
          <w:szCs w:val="28"/>
        </w:rPr>
        <w:t>la chiave di accesso</w:t>
      </w:r>
      <w:r w:rsidRPr="008A44F2">
        <w:rPr>
          <w:rFonts w:ascii="Garamond" w:hAnsi="Garamond"/>
          <w:sz w:val="28"/>
          <w:szCs w:val="28"/>
        </w:rPr>
        <w:t>" ai diritti costituzionalmente garantiti dalla Costituzione della Repubblica Italiana, che in sua mancanza risultano non esercitabili ma solo sulla carta creando, di fatt</w:t>
      </w:r>
      <w:r w:rsidR="00646C0D">
        <w:rPr>
          <w:rFonts w:ascii="Garamond" w:hAnsi="Garamond"/>
          <w:sz w:val="28"/>
          <w:szCs w:val="28"/>
        </w:rPr>
        <w:t>o, cittadini di serie A e B.</w:t>
      </w:r>
    </w:p>
    <w:p w14:paraId="050FD7F4" w14:textId="568AA92E" w:rsidR="00A979B7" w:rsidRDefault="008A44F2" w:rsidP="005B2D07">
      <w:pPr>
        <w:spacing w:line="336" w:lineRule="auto"/>
        <w:jc w:val="both"/>
        <w:rPr>
          <w:rFonts w:ascii="Garamond" w:hAnsi="Garamond"/>
          <w:sz w:val="28"/>
          <w:szCs w:val="28"/>
        </w:rPr>
      </w:pPr>
      <w:r w:rsidRPr="008A44F2">
        <w:rPr>
          <w:rFonts w:ascii="Garamond" w:hAnsi="Garamond"/>
          <w:sz w:val="28"/>
          <w:szCs w:val="28"/>
        </w:rPr>
        <w:t>Relativamente al problema dell'indirizzo da indicare negli atti anagrafici in questi casi, dette “</w:t>
      </w:r>
      <w:r w:rsidRPr="008A44F2">
        <w:rPr>
          <w:rFonts w:ascii="Garamond" w:hAnsi="Garamond"/>
          <w:i/>
          <w:iCs/>
          <w:sz w:val="28"/>
          <w:szCs w:val="28"/>
        </w:rPr>
        <w:t>Note illustrative</w:t>
      </w:r>
      <w:r w:rsidRPr="008A44F2">
        <w:rPr>
          <w:rFonts w:ascii="Garamond" w:hAnsi="Garamond"/>
          <w:sz w:val="28"/>
          <w:szCs w:val="28"/>
        </w:rPr>
        <w:t xml:space="preserve">” suggeriscono che, in analogia a quanto previsto per il Censimento della popolazione residente, che prescrive l'istituzione in ogni comune di una Sezione speciale </w:t>
      </w:r>
      <w:r w:rsidRPr="008A44F2">
        <w:rPr>
          <w:rFonts w:ascii="Garamond" w:hAnsi="Garamond"/>
          <w:sz w:val="28"/>
          <w:szCs w:val="28"/>
        </w:rPr>
        <w:lastRenderedPageBreak/>
        <w:t>“</w:t>
      </w:r>
      <w:r w:rsidRPr="008A44F2">
        <w:rPr>
          <w:rFonts w:ascii="Garamond" w:hAnsi="Garamond"/>
          <w:i/>
          <w:iCs/>
          <w:sz w:val="28"/>
          <w:szCs w:val="28"/>
        </w:rPr>
        <w:t>non territoriale</w:t>
      </w:r>
      <w:r w:rsidRPr="008A44F2">
        <w:rPr>
          <w:rFonts w:ascii="Garamond" w:hAnsi="Garamond"/>
          <w:sz w:val="28"/>
          <w:szCs w:val="28"/>
        </w:rPr>
        <w:t>”, nella quale vengono elencati e censiti come residenti tutti i “</w:t>
      </w:r>
      <w:r w:rsidRPr="008A44F2">
        <w:rPr>
          <w:rFonts w:ascii="Garamond" w:hAnsi="Garamond"/>
          <w:i/>
          <w:iCs/>
          <w:sz w:val="28"/>
          <w:szCs w:val="28"/>
        </w:rPr>
        <w:t>senza tetto</w:t>
      </w:r>
      <w:r w:rsidRPr="008A44F2">
        <w:rPr>
          <w:rFonts w:ascii="Garamond" w:hAnsi="Garamond"/>
          <w:sz w:val="28"/>
          <w:szCs w:val="28"/>
        </w:rPr>
        <w:t>”, venga istituita anche in anagrafe una via territorialmente non esistente, ma conosciuta con un nome convenzionale, che si ritiene possa essere “</w:t>
      </w:r>
      <w:r w:rsidRPr="008A44F2">
        <w:rPr>
          <w:rFonts w:ascii="Garamond" w:hAnsi="Garamond"/>
          <w:i/>
          <w:iCs/>
          <w:sz w:val="28"/>
          <w:szCs w:val="28"/>
          <w:bdr w:val="none" w:sz="0" w:space="0" w:color="auto" w:frame="1"/>
          <w:shd w:val="clear" w:color="auto" w:fill="FFFF00"/>
        </w:rPr>
        <w:t>...</w:t>
      </w:r>
      <w:r w:rsidRPr="008A44F2">
        <w:rPr>
          <w:rFonts w:ascii="Garamond" w:hAnsi="Garamond"/>
          <w:sz w:val="28"/>
          <w:szCs w:val="28"/>
        </w:rPr>
        <w:t>”, nella quale vengano iscritti sia i “</w:t>
      </w:r>
      <w:r w:rsidRPr="008A44F2">
        <w:rPr>
          <w:rFonts w:ascii="Garamond" w:hAnsi="Garamond"/>
          <w:i/>
          <w:iCs/>
          <w:sz w:val="28"/>
          <w:szCs w:val="28"/>
        </w:rPr>
        <w:t>senza tetto</w:t>
      </w:r>
      <w:r w:rsidRPr="008A44F2">
        <w:rPr>
          <w:rFonts w:ascii="Garamond" w:hAnsi="Garamond"/>
          <w:sz w:val="28"/>
          <w:szCs w:val="28"/>
        </w:rPr>
        <w:t>”, risultanti residenti al censimento, sia i “</w:t>
      </w:r>
      <w:r w:rsidR="00A979B7">
        <w:rPr>
          <w:rFonts w:ascii="Garamond" w:hAnsi="Garamond"/>
          <w:i/>
          <w:iCs/>
          <w:sz w:val="28"/>
          <w:szCs w:val="28"/>
        </w:rPr>
        <w:t>senza dimora</w:t>
      </w:r>
      <w:r w:rsidRPr="008A44F2">
        <w:rPr>
          <w:rFonts w:ascii="Garamond" w:hAnsi="Garamond"/>
          <w:sz w:val="28"/>
          <w:szCs w:val="28"/>
        </w:rPr>
        <w:t>”, che eleggono domicilio nel Comune al solo fine</w:t>
      </w:r>
      <w:r w:rsidR="00646C0D">
        <w:rPr>
          <w:rFonts w:ascii="Garamond" w:hAnsi="Garamond"/>
          <w:sz w:val="28"/>
          <w:szCs w:val="28"/>
        </w:rPr>
        <w:t xml:space="preserve"> dell'iscrizione anagrafica.</w:t>
      </w:r>
    </w:p>
    <w:p w14:paraId="052BEAB8" w14:textId="2A5B210E" w:rsidR="008A44F2" w:rsidRDefault="008A44F2" w:rsidP="005B2D07">
      <w:pPr>
        <w:spacing w:line="336" w:lineRule="auto"/>
        <w:jc w:val="both"/>
        <w:rPr>
          <w:rFonts w:ascii="Garamond" w:hAnsi="Garamond"/>
          <w:sz w:val="28"/>
          <w:szCs w:val="28"/>
        </w:rPr>
      </w:pPr>
      <w:r w:rsidRPr="008A44F2">
        <w:rPr>
          <w:rFonts w:ascii="Garamond" w:hAnsi="Garamond"/>
          <w:sz w:val="28"/>
          <w:szCs w:val="28"/>
        </w:rPr>
        <w:t>Trattandosi di indirizzo puramente fittizio, ogni notizia diretta agli iscritti, s'intende notificata a tutti gli effetti, con la pubblicazione all'Albo Pretorio, così come previsto dall'art. 143 c.p.c.</w:t>
      </w:r>
    </w:p>
    <w:p w14:paraId="00D84687" w14:textId="77777777" w:rsidR="008A44F2" w:rsidRPr="008A44F2" w:rsidRDefault="008A44F2" w:rsidP="005B2D07">
      <w:pPr>
        <w:spacing w:line="336" w:lineRule="auto"/>
        <w:jc w:val="both"/>
        <w:rPr>
          <w:rFonts w:ascii="Garamond" w:hAnsi="Garamond"/>
          <w:sz w:val="28"/>
          <w:szCs w:val="28"/>
        </w:rPr>
      </w:pPr>
      <w:r w:rsidRPr="008A44F2">
        <w:rPr>
          <w:rFonts w:ascii="Garamond" w:hAnsi="Garamond"/>
          <w:sz w:val="28"/>
          <w:szCs w:val="28"/>
        </w:rPr>
        <w:t>Tutto ciò premesso,</w:t>
      </w:r>
    </w:p>
    <w:p w14:paraId="04165D90" w14:textId="77777777" w:rsidR="00646C0D" w:rsidRPr="00646C0D" w:rsidRDefault="008A44F2" w:rsidP="005B2D07">
      <w:pPr>
        <w:spacing w:line="336" w:lineRule="auto"/>
        <w:jc w:val="center"/>
        <w:rPr>
          <w:rFonts w:ascii="Garamond" w:hAnsi="Garamond"/>
          <w:b/>
          <w:sz w:val="28"/>
          <w:szCs w:val="28"/>
        </w:rPr>
      </w:pPr>
      <w:r w:rsidRPr="00646C0D">
        <w:rPr>
          <w:rFonts w:ascii="Garamond" w:hAnsi="Garamond"/>
          <w:b/>
          <w:sz w:val="28"/>
          <w:szCs w:val="28"/>
        </w:rPr>
        <w:t>LA GIUNTA COMUNALE</w:t>
      </w:r>
    </w:p>
    <w:p w14:paraId="62AF87C0" w14:textId="77777777" w:rsidR="00A979B7" w:rsidRDefault="008A44F2" w:rsidP="005B2D07">
      <w:pPr>
        <w:spacing w:line="336" w:lineRule="auto"/>
        <w:jc w:val="both"/>
        <w:rPr>
          <w:rFonts w:ascii="Garamond" w:hAnsi="Garamond"/>
          <w:sz w:val="28"/>
          <w:szCs w:val="28"/>
        </w:rPr>
      </w:pPr>
      <w:r w:rsidRPr="00646C0D">
        <w:rPr>
          <w:rFonts w:ascii="Garamond" w:hAnsi="Garamond"/>
          <w:sz w:val="28"/>
          <w:szCs w:val="28"/>
          <w:bdr w:val="none" w:sz="0" w:space="0" w:color="auto" w:frame="1"/>
        </w:rPr>
        <w:t>Visto che ai sensi dell'art. 35 della Legge 8 giugno 1990 n. 142 e sue successive modificazioni e integrazioni la Giunta compie tutti gli atti di amministrazione che non siano riservati dalla legge al Consiglio Comunale o che non rientrino nella competenza di altri organi o del Segretario Generale o dei funzionari dirigenti;</w:t>
      </w:r>
    </w:p>
    <w:p w14:paraId="69100E31" w14:textId="6A1C81E1" w:rsidR="008A44F2" w:rsidRPr="00646C0D" w:rsidRDefault="008A44F2" w:rsidP="005B2D07">
      <w:pPr>
        <w:spacing w:line="336" w:lineRule="auto"/>
        <w:jc w:val="both"/>
        <w:rPr>
          <w:rFonts w:ascii="Garamond" w:hAnsi="Garamond"/>
          <w:sz w:val="28"/>
          <w:szCs w:val="28"/>
        </w:rPr>
      </w:pPr>
      <w:r w:rsidRPr="00646C0D">
        <w:rPr>
          <w:rFonts w:ascii="Garamond" w:hAnsi="Garamond"/>
          <w:sz w:val="28"/>
          <w:szCs w:val="28"/>
          <w:bdr w:val="none" w:sz="0" w:space="0" w:color="auto" w:frame="1"/>
        </w:rPr>
        <w:t>Dato atto che i pareri di cui all'art. 53 della Legge 8 giugno 1990 n. 142 e sue successive modificazioni, sono sia favorevole sulla regolarità tecnica e correttezza amministrativa dell'atto sia favorevole sulla regolarità contabile;</w:t>
      </w:r>
    </w:p>
    <w:p w14:paraId="27FD6B08" w14:textId="77777777" w:rsidR="008A44F2" w:rsidRPr="00646C0D" w:rsidRDefault="008A44F2" w:rsidP="005B2D07">
      <w:pPr>
        <w:spacing w:line="336" w:lineRule="auto"/>
        <w:jc w:val="both"/>
        <w:rPr>
          <w:rFonts w:ascii="Garamond" w:hAnsi="Garamond"/>
          <w:sz w:val="28"/>
          <w:szCs w:val="28"/>
        </w:rPr>
      </w:pPr>
      <w:r w:rsidRPr="00646C0D">
        <w:rPr>
          <w:rFonts w:ascii="Garamond" w:hAnsi="Garamond"/>
          <w:sz w:val="28"/>
          <w:szCs w:val="28"/>
        </w:rPr>
        <w:t>Viste le disposizioni legislative sopra richiamate;</w:t>
      </w:r>
    </w:p>
    <w:p w14:paraId="3FFFD92A" w14:textId="2E896570" w:rsidR="008A44F2" w:rsidRDefault="008A44F2" w:rsidP="005B2D07">
      <w:pPr>
        <w:spacing w:line="336" w:lineRule="auto"/>
        <w:jc w:val="both"/>
        <w:rPr>
          <w:rFonts w:ascii="Garamond" w:hAnsi="Garamond"/>
          <w:sz w:val="28"/>
          <w:szCs w:val="28"/>
        </w:rPr>
      </w:pPr>
      <w:r w:rsidRPr="00646C0D">
        <w:rPr>
          <w:rFonts w:ascii="Garamond" w:hAnsi="Garamond"/>
          <w:sz w:val="28"/>
          <w:szCs w:val="28"/>
        </w:rPr>
        <w:t>Con voti unanimi, espressi in forma palese;</w:t>
      </w:r>
    </w:p>
    <w:p w14:paraId="68054823" w14:textId="77777777" w:rsidR="005B2D07" w:rsidRDefault="005B2D07" w:rsidP="005B2D07">
      <w:pPr>
        <w:spacing w:line="336" w:lineRule="auto"/>
        <w:jc w:val="both"/>
        <w:rPr>
          <w:rFonts w:ascii="Garamond" w:hAnsi="Garamond"/>
          <w:sz w:val="28"/>
          <w:szCs w:val="28"/>
        </w:rPr>
      </w:pPr>
    </w:p>
    <w:p w14:paraId="553AF021" w14:textId="77777777" w:rsidR="008A44F2" w:rsidRPr="00646C0D" w:rsidRDefault="008A44F2" w:rsidP="005B2D07">
      <w:pPr>
        <w:spacing w:line="336" w:lineRule="auto"/>
        <w:jc w:val="center"/>
        <w:rPr>
          <w:rFonts w:ascii="Garamond" w:hAnsi="Garamond"/>
          <w:b/>
          <w:sz w:val="28"/>
          <w:szCs w:val="28"/>
        </w:rPr>
      </w:pPr>
      <w:r w:rsidRPr="00646C0D">
        <w:rPr>
          <w:rFonts w:ascii="Garamond" w:hAnsi="Garamond"/>
          <w:b/>
          <w:sz w:val="28"/>
          <w:szCs w:val="28"/>
        </w:rPr>
        <w:t xml:space="preserve">D E L </w:t>
      </w:r>
      <w:r w:rsidR="00646C0D" w:rsidRPr="00646C0D">
        <w:rPr>
          <w:rFonts w:ascii="Garamond" w:hAnsi="Garamond"/>
          <w:b/>
          <w:sz w:val="28"/>
          <w:szCs w:val="28"/>
        </w:rPr>
        <w:t>I B E R A</w:t>
      </w:r>
    </w:p>
    <w:p w14:paraId="511B13F4" w14:textId="4C615923" w:rsidR="008A44F2" w:rsidRPr="008A44F2" w:rsidRDefault="008A44F2" w:rsidP="005B2D07">
      <w:pPr>
        <w:pStyle w:val="Paragrafoelenco"/>
        <w:numPr>
          <w:ilvl w:val="0"/>
          <w:numId w:val="3"/>
        </w:numPr>
        <w:spacing w:line="336" w:lineRule="auto"/>
        <w:ind w:left="426"/>
        <w:jc w:val="both"/>
        <w:rPr>
          <w:rFonts w:ascii="Garamond" w:hAnsi="Garamond"/>
          <w:sz w:val="28"/>
          <w:szCs w:val="28"/>
        </w:rPr>
      </w:pPr>
      <w:r w:rsidRPr="008A44F2">
        <w:rPr>
          <w:rFonts w:ascii="Garamond" w:hAnsi="Garamond"/>
          <w:sz w:val="28"/>
          <w:szCs w:val="28"/>
          <w:bdr w:val="none" w:sz="0" w:space="0" w:color="auto" w:frame="1"/>
        </w:rPr>
        <w:t xml:space="preserve">di istituire una via territorialmente non esistente, ai fini dell'iscrizione anagrafica delle persone </w:t>
      </w:r>
      <w:r w:rsidR="00A979B7">
        <w:rPr>
          <w:rFonts w:ascii="Garamond" w:hAnsi="Garamond"/>
          <w:sz w:val="28"/>
          <w:szCs w:val="28"/>
          <w:bdr w:val="none" w:sz="0" w:space="0" w:color="auto" w:frame="1"/>
        </w:rPr>
        <w:t>senza dimora</w:t>
      </w:r>
      <w:r w:rsidRPr="008A44F2">
        <w:rPr>
          <w:rFonts w:ascii="Garamond" w:hAnsi="Garamond"/>
          <w:sz w:val="28"/>
          <w:szCs w:val="28"/>
          <w:bdr w:val="none" w:sz="0" w:space="0" w:color="auto" w:frame="1"/>
        </w:rPr>
        <w:t xml:space="preserve">, che hanno stabilito nel Comune </w:t>
      </w:r>
      <w:proofErr w:type="gramStart"/>
      <w:r w:rsidRPr="008A44F2">
        <w:rPr>
          <w:rFonts w:ascii="Garamond" w:hAnsi="Garamond"/>
          <w:sz w:val="28"/>
          <w:szCs w:val="28"/>
          <w:bdr w:val="none" w:sz="0" w:space="0" w:color="auto" w:frame="1"/>
        </w:rPr>
        <w:t>di</w:t>
      </w:r>
      <w:r w:rsidR="00A979B7">
        <w:rPr>
          <w:rFonts w:ascii="Garamond" w:hAnsi="Garamond"/>
          <w:sz w:val="28"/>
          <w:szCs w:val="28"/>
          <w:bdr w:val="none" w:sz="0" w:space="0" w:color="auto" w:frame="1"/>
        </w:rPr>
        <w:t xml:space="preserve"> </w:t>
      </w:r>
      <w:r w:rsidR="00A979B7">
        <w:rPr>
          <w:rFonts w:ascii="Garamond" w:hAnsi="Garamond"/>
          <w:sz w:val="28"/>
          <w:szCs w:val="28"/>
          <w:bdr w:val="none" w:sz="0" w:space="0" w:color="auto" w:frame="1"/>
          <w:shd w:val="clear" w:color="auto" w:fill="FFFF00"/>
        </w:rPr>
        <w:t xml:space="preserve"> …</w:t>
      </w:r>
      <w:proofErr w:type="gramEnd"/>
      <w:r w:rsidR="00A979B7">
        <w:rPr>
          <w:rFonts w:ascii="Garamond" w:hAnsi="Garamond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 w:rsidRPr="008A44F2">
        <w:rPr>
          <w:rFonts w:ascii="Garamond" w:hAnsi="Garamond"/>
          <w:sz w:val="28"/>
          <w:szCs w:val="28"/>
          <w:bdr w:val="none" w:sz="0" w:space="0" w:color="auto" w:frame="1"/>
        </w:rPr>
        <w:t>il proprio domicilio ai soli fini dell'iscrizione anagrafica;</w:t>
      </w:r>
    </w:p>
    <w:p w14:paraId="24DC68C2" w14:textId="77777777" w:rsidR="005B2D07" w:rsidRPr="005B2D07" w:rsidRDefault="008A44F2" w:rsidP="005B2D07">
      <w:pPr>
        <w:pStyle w:val="Paragrafoelenco"/>
        <w:numPr>
          <w:ilvl w:val="0"/>
          <w:numId w:val="3"/>
        </w:numPr>
        <w:spacing w:line="336" w:lineRule="auto"/>
        <w:ind w:left="426"/>
        <w:jc w:val="both"/>
        <w:rPr>
          <w:rFonts w:ascii="Garamond" w:hAnsi="Garamond"/>
          <w:sz w:val="28"/>
          <w:szCs w:val="28"/>
        </w:rPr>
      </w:pPr>
      <w:r w:rsidRPr="008A44F2">
        <w:rPr>
          <w:rFonts w:ascii="Garamond" w:hAnsi="Garamond"/>
          <w:sz w:val="28"/>
          <w:szCs w:val="28"/>
        </w:rPr>
        <w:t>di denominare la via territorialmente non esistente con il nome convenzionale di “</w:t>
      </w:r>
      <w:r w:rsidRPr="008A44F2">
        <w:rPr>
          <w:rFonts w:ascii="Garamond" w:hAnsi="Garamond"/>
          <w:sz w:val="28"/>
          <w:szCs w:val="28"/>
          <w:bdr w:val="none" w:sz="0" w:space="0" w:color="auto" w:frame="1"/>
          <w:shd w:val="clear" w:color="auto" w:fill="FFFF00"/>
        </w:rPr>
        <w:t>...</w:t>
      </w:r>
      <w:r w:rsidRPr="008A44F2">
        <w:rPr>
          <w:rFonts w:ascii="Garamond" w:hAnsi="Garamond"/>
          <w:sz w:val="28"/>
          <w:szCs w:val="28"/>
          <w:bdr w:val="none" w:sz="0" w:space="0" w:color="auto" w:frame="1"/>
        </w:rPr>
        <w:t>”;</w:t>
      </w:r>
    </w:p>
    <w:p w14:paraId="50DCDCE1" w14:textId="613A31CC" w:rsidR="005B2D07" w:rsidRDefault="008A44F2" w:rsidP="005B2D07">
      <w:pPr>
        <w:pStyle w:val="Paragrafoelenco"/>
        <w:numPr>
          <w:ilvl w:val="0"/>
          <w:numId w:val="3"/>
        </w:numPr>
        <w:spacing w:line="336" w:lineRule="auto"/>
        <w:ind w:left="426"/>
        <w:jc w:val="both"/>
        <w:rPr>
          <w:rFonts w:ascii="Garamond" w:hAnsi="Garamond"/>
          <w:sz w:val="28"/>
          <w:szCs w:val="28"/>
        </w:rPr>
      </w:pPr>
      <w:r w:rsidRPr="005B2D07">
        <w:rPr>
          <w:rFonts w:ascii="Garamond" w:hAnsi="Garamond"/>
          <w:sz w:val="28"/>
          <w:szCs w:val="28"/>
        </w:rPr>
        <w:t xml:space="preserve">di iscrivere le persone </w:t>
      </w:r>
      <w:r w:rsidR="00A979B7">
        <w:rPr>
          <w:rFonts w:ascii="Garamond" w:hAnsi="Garamond"/>
          <w:sz w:val="28"/>
          <w:szCs w:val="28"/>
        </w:rPr>
        <w:t>senza dimora</w:t>
      </w:r>
      <w:r w:rsidRPr="005B2D07">
        <w:rPr>
          <w:rFonts w:ascii="Garamond" w:hAnsi="Garamond"/>
          <w:sz w:val="28"/>
          <w:szCs w:val="28"/>
        </w:rPr>
        <w:t xml:space="preserve"> alla suddetta via;</w:t>
      </w:r>
    </w:p>
    <w:p w14:paraId="52FEF025" w14:textId="5EA73D05" w:rsidR="00DA2E7D" w:rsidRPr="005B2D07" w:rsidRDefault="008A44F2" w:rsidP="005B2D07">
      <w:pPr>
        <w:pStyle w:val="Paragrafoelenco"/>
        <w:numPr>
          <w:ilvl w:val="0"/>
          <w:numId w:val="3"/>
        </w:numPr>
        <w:spacing w:line="336" w:lineRule="auto"/>
        <w:ind w:left="426"/>
        <w:jc w:val="both"/>
        <w:rPr>
          <w:rFonts w:ascii="Garamond" w:hAnsi="Garamond"/>
          <w:sz w:val="28"/>
          <w:szCs w:val="28"/>
        </w:rPr>
      </w:pPr>
      <w:r w:rsidRPr="005B2D07">
        <w:rPr>
          <w:rFonts w:ascii="Garamond" w:hAnsi="Garamond"/>
          <w:sz w:val="28"/>
          <w:szCs w:val="28"/>
        </w:rPr>
        <w:t xml:space="preserve">di approvare che ogni comunicazione diretta a dette persone s'intende notificata, a tutti gli effetti, mediante la pubblicazione presso l'Albo Pretorio ai sensi dell'art. 143 </w:t>
      </w:r>
      <w:proofErr w:type="spellStart"/>
      <w:proofErr w:type="gramStart"/>
      <w:r w:rsidRPr="005B2D07">
        <w:rPr>
          <w:rFonts w:ascii="Garamond" w:hAnsi="Garamond"/>
          <w:sz w:val="28"/>
          <w:szCs w:val="28"/>
        </w:rPr>
        <w:t>c.p.c.</w:t>
      </w:r>
      <w:proofErr w:type="spellEnd"/>
      <w:r w:rsidRPr="005B2D07">
        <w:rPr>
          <w:rFonts w:ascii="Garamond" w:hAnsi="Garamond"/>
          <w:sz w:val="28"/>
          <w:szCs w:val="28"/>
        </w:rPr>
        <w:t>.</w:t>
      </w:r>
      <w:proofErr w:type="gramEnd"/>
    </w:p>
    <w:sectPr w:rsidR="00DA2E7D" w:rsidRPr="005B2D07" w:rsidSect="00DA2E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506CFB"/>
    <w:multiLevelType w:val="hybridMultilevel"/>
    <w:tmpl w:val="6CB02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E26E0"/>
    <w:multiLevelType w:val="multilevel"/>
    <w:tmpl w:val="48541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BA69B8"/>
    <w:multiLevelType w:val="multilevel"/>
    <w:tmpl w:val="E72C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F2"/>
    <w:rsid w:val="005B2D07"/>
    <w:rsid w:val="00646C0D"/>
    <w:rsid w:val="007B20D9"/>
    <w:rsid w:val="008A44F2"/>
    <w:rsid w:val="00A979B7"/>
    <w:rsid w:val="00DA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94C30A"/>
  <w14:defaultImageDpi w14:val="300"/>
  <w15:docId w15:val="{0EA567D6-0BC0-9749-8070-DE90D68F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A44F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8A44F2"/>
  </w:style>
  <w:style w:type="paragraph" w:styleId="Paragrafoelenco">
    <w:name w:val="List Paragraph"/>
    <w:basedOn w:val="Normale"/>
    <w:uiPriority w:val="34"/>
    <w:qFormat/>
    <w:rsid w:val="008A4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1074</Words>
  <Characters>6127</Characters>
  <Application>Microsoft Office Word</Application>
  <DocSecurity>0</DocSecurity>
  <Lines>51</Lines>
  <Paragraphs>14</Paragraphs>
  <ScaleCrop>false</ScaleCrop>
  <Company>Stefano Turi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Turi</dc:creator>
  <cp:keywords/>
  <dc:description/>
  <cp:lastModifiedBy>Michele Ferraris</cp:lastModifiedBy>
  <cp:revision>4</cp:revision>
  <dcterms:created xsi:type="dcterms:W3CDTF">2020-02-11T13:56:00Z</dcterms:created>
  <dcterms:modified xsi:type="dcterms:W3CDTF">2020-03-04T16:48:00Z</dcterms:modified>
</cp:coreProperties>
</file>